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宋体" w:hAnsi="宋体" w:eastAsia="宋体" w:cs="宋体"/>
          <w:b/>
          <w:bCs/>
          <w:sz w:val="32"/>
          <w:szCs w:val="32"/>
        </w:rPr>
      </w:pPr>
      <w:r>
        <w:rPr>
          <w:rFonts w:hint="eastAsia" w:ascii="宋体" w:hAnsi="宋体" w:eastAsia="宋体" w:cs="宋体"/>
          <w:b/>
          <w:bCs/>
          <w:sz w:val="32"/>
          <w:szCs w:val="32"/>
        </w:rPr>
        <w:t>衡阳技师学院</w:t>
      </w:r>
      <w:r>
        <w:rPr>
          <w:rFonts w:hint="eastAsia" w:ascii="宋体" w:hAnsi="宋体" w:eastAsia="宋体" w:cs="宋体"/>
          <w:b/>
          <w:bCs/>
          <w:sz w:val="32"/>
          <w:szCs w:val="32"/>
        </w:rPr>
        <w:t>专业建设</w:t>
      </w:r>
      <w:r>
        <w:rPr>
          <w:rFonts w:hint="eastAsia" w:ascii="宋体" w:hAnsi="宋体" w:eastAsia="宋体" w:cs="宋体"/>
          <w:b/>
          <w:bCs/>
          <w:sz w:val="32"/>
          <w:szCs w:val="32"/>
        </w:rPr>
        <w:t>评估</w:t>
      </w:r>
      <w:r>
        <w:rPr>
          <w:rFonts w:hint="eastAsia" w:ascii="宋体" w:hAnsi="宋体" w:eastAsia="宋体" w:cs="宋体"/>
          <w:b/>
          <w:bCs/>
          <w:sz w:val="32"/>
          <w:szCs w:val="32"/>
        </w:rPr>
        <w:t>指标</w:t>
      </w:r>
    </w:p>
    <w:p>
      <w:pPr>
        <w:spacing w:line="600" w:lineRule="exact"/>
        <w:rPr>
          <w:rFonts w:cs="方正小标宋简体" w:asciiTheme="minorEastAsia" w:hAnsiTheme="minorEastAsia" w:eastAsiaTheme="minorEastAsia"/>
          <w:sz w:val="24"/>
          <w:szCs w:val="24"/>
        </w:rPr>
      </w:pPr>
      <w:r>
        <w:rPr>
          <w:rFonts w:cs="方正小标宋简体" w:asciiTheme="minorEastAsia" w:hAnsiTheme="minorEastAsia" w:eastAsiaTheme="minorEastAsia"/>
          <w:sz w:val="24"/>
          <w:szCs w:val="24"/>
        </w:rPr>
        <w:t>系</w:t>
      </w:r>
      <w:r>
        <w:rPr>
          <w:rFonts w:hint="eastAsia" w:cs="方正小标宋简体" w:asciiTheme="minorEastAsia" w:hAnsiTheme="minorEastAsia" w:eastAsiaTheme="minorEastAsia"/>
          <w:sz w:val="24"/>
          <w:szCs w:val="24"/>
        </w:rPr>
        <w:t xml:space="preserve">（院）：              </w:t>
      </w:r>
      <w:r>
        <w:rPr>
          <w:rFonts w:hint="eastAsia" w:cs="方正小标宋简体" w:asciiTheme="minorEastAsia" w:hAnsiTheme="minorEastAsia" w:eastAsiaTheme="minorEastAsia"/>
          <w:sz w:val="24"/>
          <w:szCs w:val="24"/>
          <w:lang w:val="en-US" w:eastAsia="zh-CN"/>
        </w:rPr>
        <w:t xml:space="preserve">   </w:t>
      </w:r>
      <w:r>
        <w:rPr>
          <w:rFonts w:hint="eastAsia" w:cs="方正小标宋简体" w:asciiTheme="minorEastAsia" w:hAnsiTheme="minorEastAsia" w:eastAsiaTheme="minorEastAsia"/>
          <w:sz w:val="24"/>
          <w:szCs w:val="24"/>
        </w:rPr>
        <w:t xml:space="preserve">专业名称：             </w:t>
      </w:r>
      <w:r>
        <w:rPr>
          <w:rFonts w:hint="eastAsia" w:cs="方正小标宋简体" w:asciiTheme="minorEastAsia" w:hAnsiTheme="minorEastAsia" w:eastAsiaTheme="minorEastAsia"/>
          <w:sz w:val="24"/>
          <w:szCs w:val="24"/>
          <w:lang w:val="en-US" w:eastAsia="zh-CN"/>
        </w:rPr>
        <w:t xml:space="preserve">   </w:t>
      </w:r>
      <w:r>
        <w:rPr>
          <w:rFonts w:hint="eastAsia" w:cs="方正小标宋简体" w:asciiTheme="minorEastAsia" w:hAnsiTheme="minorEastAsia" w:eastAsiaTheme="minorEastAsia"/>
          <w:sz w:val="24"/>
          <w:szCs w:val="24"/>
        </w:rPr>
        <w:t>专业代码：</w:t>
      </w:r>
    </w:p>
    <w:tbl>
      <w:tblPr>
        <w:tblStyle w:val="4"/>
        <w:tblW w:w="15220" w:type="dxa"/>
        <w:tblInd w:w="-3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756"/>
        <w:gridCol w:w="1091"/>
        <w:gridCol w:w="757"/>
        <w:gridCol w:w="567"/>
        <w:gridCol w:w="4678"/>
        <w:gridCol w:w="4111"/>
        <w:gridCol w:w="32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17" w:hRule="atLeast"/>
        </w:trPr>
        <w:tc>
          <w:tcPr>
            <w:tcW w:w="756"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bookmarkStart w:id="0" w:name="OLE_LINK1" w:colFirst="4" w:colLast="4"/>
            <w:r>
              <w:rPr>
                <w:rFonts w:hint="eastAsia" w:ascii="仿宋_GB2312" w:hAnsi="仿宋_GB2312" w:eastAsia="仿宋_GB2312" w:cs="仿宋_GB2312"/>
                <w:bCs/>
                <w:kern w:val="0"/>
                <w:sz w:val="18"/>
                <w:szCs w:val="18"/>
              </w:rPr>
              <w:t>一级指标</w:t>
            </w:r>
          </w:p>
        </w:tc>
        <w:tc>
          <w:tcPr>
            <w:tcW w:w="1091"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二级指标</w:t>
            </w:r>
          </w:p>
        </w:tc>
        <w:tc>
          <w:tcPr>
            <w:tcW w:w="757" w:type="dxa"/>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三级指标</w:t>
            </w:r>
          </w:p>
        </w:tc>
        <w:tc>
          <w:tcPr>
            <w:tcW w:w="567"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分值</w:t>
            </w:r>
          </w:p>
        </w:tc>
        <w:tc>
          <w:tcPr>
            <w:tcW w:w="4678"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内涵标准与要求</w:t>
            </w:r>
          </w:p>
        </w:tc>
        <w:tc>
          <w:tcPr>
            <w:tcW w:w="4111"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计分方式</w:t>
            </w:r>
          </w:p>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（计分单位：0.1分；多位小数采取四舍五入法取1位小数）</w:t>
            </w:r>
          </w:p>
        </w:tc>
        <w:tc>
          <w:tcPr>
            <w:tcW w:w="3260"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备查材料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5"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1、该专业在校学生</w:t>
            </w:r>
          </w:p>
          <w:p>
            <w:pP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（4分）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1-1学生总数</w:t>
            </w: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2 </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有满足该专业合适的在校学生规模。</w:t>
            </w:r>
          </w:p>
        </w:tc>
        <w:tc>
          <w:tcPr>
            <w:tcW w:w="4111"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该专业在校学生总数在200人以上（含）（包含顶岗实习学生）计2分； 120人以上（含）计1分</w:t>
            </w:r>
          </w:p>
        </w:tc>
        <w:tc>
          <w:tcPr>
            <w:tcW w:w="3260"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学生名册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278"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1-2层次结构</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2 </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该专业学制层次结构合理</w:t>
            </w:r>
          </w:p>
        </w:tc>
        <w:tc>
          <w:tcPr>
            <w:tcW w:w="4111"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预备技师学生占比50%以上计2分，30-50%计2分，30%以下计1分</w:t>
            </w:r>
          </w:p>
        </w:tc>
        <w:tc>
          <w:tcPr>
            <w:tcW w:w="3260"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学生名册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35"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2、专业建设规划与人才培养方案（4分）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2-1</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专业建设规划</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结合学校实际制定专业建设发展规划和年度实施计划，措施得力，取得明显成效。</w:t>
            </w:r>
          </w:p>
        </w:tc>
        <w:tc>
          <w:tcPr>
            <w:tcW w:w="4111"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１、专业发展规划和年度实施计划稳步实施，措施得力，取得明显成效计2分</w:t>
            </w:r>
          </w:p>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２、有发展规划，年度实施计划大部分落实，有成效计1.5分</w:t>
            </w:r>
          </w:p>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３、有发展规划，年度实施计划大部分没能落实，成效一般计1分。没有计0分</w:t>
            </w:r>
          </w:p>
        </w:tc>
        <w:tc>
          <w:tcPr>
            <w:tcW w:w="3260"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专业发展规划，实施记录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435"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2-2</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人才培养方案</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培养目标符合时代要求，培养定位准确，方案具有创新性、科学性，可操作性强，实施情况好。</w:t>
            </w:r>
          </w:p>
        </w:tc>
        <w:tc>
          <w:tcPr>
            <w:tcW w:w="4111"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人才培养方案编写精炼，培养定位精准，可操作性强，教学安排严格按方案执行得2分。人才培养方案编写质量不高，计1分</w:t>
            </w:r>
          </w:p>
        </w:tc>
        <w:tc>
          <w:tcPr>
            <w:tcW w:w="3260"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专业人才培养方案，教学实施计划，实习实训计划。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40"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2、课程教学</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（13分）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2-1</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一体化课程教学改革）</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积极试点实施一体化教学课程改革。建立理论与实践相融合、教学内容与岗位需求相适应的注重综合素质培养的课程体系，制定并实施一体化课程改革方案和课程发展规划，本专业实施一体化课程改革学生数具有一定规模。</w:t>
            </w:r>
          </w:p>
        </w:tc>
        <w:tc>
          <w:tcPr>
            <w:tcW w:w="4111"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80%-90%的专业核心课程的70%以上内容实施实施一体化教学计5分，70-80%(60%以上内容)计4分，60-70%（50%以上内容）计3分，50-60%（40%以上内容）计2分，40-50%（30%以上内容）计1分</w:t>
            </w:r>
          </w:p>
        </w:tc>
        <w:tc>
          <w:tcPr>
            <w:tcW w:w="3260" w:type="dxa"/>
            <w:noWrap/>
            <w:vAlign w:val="center"/>
          </w:tcPr>
          <w:p>
            <w:pPr>
              <w:widowControl/>
              <w:spacing w:line="22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近三年教学计划、课程大纲、教师备课笔记，一体化课程体系开发、课程改革方案及阶段性改革成果，典型案例及相关材料。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2"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0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2-2</w:t>
            </w:r>
          </w:p>
          <w:p>
            <w:pPr>
              <w:widowControl/>
              <w:spacing w:line="20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教学方法、模式改革</w:t>
            </w:r>
          </w:p>
        </w:tc>
        <w:tc>
          <w:tcPr>
            <w:tcW w:w="757" w:type="dxa"/>
            <w:vAlign w:val="center"/>
          </w:tcPr>
          <w:p>
            <w:pPr>
              <w:widowControl/>
              <w:spacing w:line="20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0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重点考察翻转课堂推广情况</w:t>
            </w:r>
          </w:p>
        </w:tc>
        <w:tc>
          <w:tcPr>
            <w:tcW w:w="4111"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翻转课堂推广率在50%（含）以上得3分，40-50%得2分，30-40%得1分，30%以下不得分。</w:t>
            </w:r>
          </w:p>
        </w:tc>
        <w:tc>
          <w:tcPr>
            <w:tcW w:w="3260"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实施翻转教学课程清单、教案等相关材料。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2"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0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2-3</w:t>
            </w:r>
          </w:p>
          <w:p>
            <w:pPr>
              <w:widowControl/>
              <w:spacing w:line="20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实训实习课占比</w:t>
            </w:r>
          </w:p>
        </w:tc>
        <w:tc>
          <w:tcPr>
            <w:tcW w:w="757" w:type="dxa"/>
            <w:vAlign w:val="center"/>
          </w:tcPr>
          <w:p>
            <w:pPr>
              <w:widowControl/>
              <w:spacing w:line="20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0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 xml:space="preserve">5 </w:t>
            </w:r>
          </w:p>
        </w:tc>
        <w:tc>
          <w:tcPr>
            <w:tcW w:w="4678"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实训实习课不少于总课时（含一体化教学、上机课）50%。</w:t>
            </w:r>
          </w:p>
        </w:tc>
        <w:tc>
          <w:tcPr>
            <w:tcW w:w="4111"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实训实习课不少于总课时（含一体化教学、上机课）50%计5分，40-50%得3分；30-40%得1分，20-30%得0.5分，低于20%不得分。</w:t>
            </w:r>
          </w:p>
        </w:tc>
        <w:tc>
          <w:tcPr>
            <w:tcW w:w="3260" w:type="dxa"/>
            <w:noWrap/>
            <w:vAlign w:val="center"/>
          </w:tcPr>
          <w:p>
            <w:pPr>
              <w:widowControl/>
              <w:spacing w:line="20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近三年实习计划、实习大纲、教师授课表，实习管理运行记录等。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513" w:hRule="atLeast"/>
        </w:trPr>
        <w:tc>
          <w:tcPr>
            <w:tcW w:w="756"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3、学生技能（10分）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学生竞赛</w:t>
            </w:r>
          </w:p>
          <w:p>
            <w:pPr>
              <w:widowControl/>
              <w:spacing w:line="260" w:lineRule="exact"/>
              <w:jc w:val="center"/>
              <w:textAlignment w:val="center"/>
              <w:rPr>
                <w:rFonts w:hint="eastAsia" w:ascii="仿宋_GB2312" w:hAnsi="仿宋_GB2312" w:eastAsia="仿宋_GB2312" w:cs="仿宋_GB2312"/>
                <w:bCs/>
                <w:kern w:val="0"/>
                <w:sz w:val="18"/>
                <w:szCs w:val="18"/>
              </w:rPr>
            </w:pPr>
            <w:bookmarkStart w:id="1" w:name="_GoBack"/>
            <w:bookmarkEnd w:id="1"/>
            <w:r>
              <w:rPr>
                <w:rFonts w:hint="eastAsia" w:ascii="仿宋_GB2312" w:hAnsi="仿宋_GB2312" w:eastAsia="仿宋_GB2312" w:cs="仿宋_GB2312"/>
                <w:bCs/>
                <w:kern w:val="0"/>
                <w:sz w:val="18"/>
                <w:szCs w:val="18"/>
              </w:rPr>
              <w:t>成绩</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10</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近三年本专业学生积极有序参赛、不弄虚作假、遵守竞赛纪律，取得优异成绩。</w:t>
            </w:r>
          </w:p>
        </w:tc>
        <w:tc>
          <w:tcPr>
            <w:tcW w:w="4111"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世界技能大赛夺牌得6分；全国技能大赛一等奖加4分，二等奖每次加2分，三等奖每次加1分；省级技能大赛一等奖每次1分、二等奖每次0.5分、三等奖每次0.2分。获市级技能竞赛一等奖的每次加0.2分，二等奖的每次加0.1分。同一竞赛同一届同一人多级获奖的，以最高分计算，不重复累计。本项分值加满为止。</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近三年参加各级人社部门主办或参与组织实施的技能竞赛表彰通报文件、获奖名单汇总表。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trPr>
        <w:tc>
          <w:tcPr>
            <w:tcW w:w="756"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4、校企合作（10分）</w:t>
            </w:r>
          </w:p>
        </w:tc>
        <w:tc>
          <w:tcPr>
            <w:tcW w:w="1091" w:type="dxa"/>
            <w:noWrap/>
            <w:vAlign w:val="center"/>
          </w:tcPr>
          <w:p>
            <w:pPr>
              <w:widowControl/>
              <w:spacing w:line="24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校企合作规模及校外实习基地建设</w:t>
            </w:r>
          </w:p>
        </w:tc>
        <w:tc>
          <w:tcPr>
            <w:tcW w:w="757" w:type="dxa"/>
            <w:vAlign w:val="center"/>
          </w:tcPr>
          <w:p>
            <w:pPr>
              <w:widowControl/>
              <w:spacing w:line="24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4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10</w:t>
            </w:r>
          </w:p>
        </w:tc>
        <w:tc>
          <w:tcPr>
            <w:tcW w:w="4678" w:type="dxa"/>
            <w:noWrap/>
            <w:vAlign w:val="center"/>
          </w:tcPr>
          <w:p>
            <w:pPr>
              <w:widowControl/>
              <w:spacing w:line="24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积极开展校企合作，每个专业至少3家具有实质性的合作企业，建立满足各专业学生实习需要的校外实习基地。校企合作有实质性内容，合作紧密，参与度高，连续合作2年以上，取得合作成效。</w:t>
            </w:r>
          </w:p>
        </w:tc>
        <w:tc>
          <w:tcPr>
            <w:tcW w:w="4111" w:type="dxa"/>
            <w:noWrap/>
            <w:vAlign w:val="center"/>
          </w:tcPr>
          <w:p>
            <w:pPr>
              <w:widowControl/>
              <w:spacing w:line="24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合作企业数量达标，校外实习基地建设成效显著，得10分；合作企业数量达标，校外实习基地建设成效较好得7分。合作企业数量达标，额外的每个加1分，本项分值加满为止。不达标不得分。</w:t>
            </w:r>
          </w:p>
        </w:tc>
        <w:tc>
          <w:tcPr>
            <w:tcW w:w="3260" w:type="dxa"/>
            <w:noWrap/>
            <w:vAlign w:val="center"/>
          </w:tcPr>
          <w:p>
            <w:pPr>
              <w:widowControl/>
              <w:spacing w:line="24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校企合作单位统计表，合作协议等资料；学生实习基地合作协议、实习方案、实习过程记录、统计资料等。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0"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5、实训条件（12分）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5-1</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实训场地</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w:t>
            </w:r>
          </w:p>
        </w:tc>
        <w:tc>
          <w:tcPr>
            <w:tcW w:w="4678"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实训场地建设应充分满足本专业实际需要；实习、实验场所不少于6个，建筑面积不少于300平方米。</w:t>
            </w:r>
          </w:p>
        </w:tc>
        <w:tc>
          <w:tcPr>
            <w:tcW w:w="4111"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达标得5分；不达标且不少于标准10%的减1分。其他不达标的不得分。</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实训场地汇总统计表及证明材料。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170"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5-2</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实训设备</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7</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应配备与办学规模、办学层次、专业设置相适应，具有国内领先水平的实习、实验场所、设备设施，并保证每生有实习工位和实训设备且正常使用；实习、实验设备总值不少于300万元。</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达标、满足需要且正常使用得7分；不达标且不少于标准10%的减1分。其他不达标的不得分。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校内实训基地名称、实训工位数和设备设施等统计表，购买耗材使用情况记录等。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52"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6、教师队伍（35分）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6-1</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师生比</w:t>
            </w:r>
          </w:p>
        </w:tc>
        <w:tc>
          <w:tcPr>
            <w:tcW w:w="757" w:type="dxa"/>
            <w:vAlign w:val="center"/>
          </w:tcPr>
          <w:p>
            <w:pPr>
              <w:widowControl/>
              <w:spacing w:line="260" w:lineRule="exact"/>
              <w:jc w:val="center"/>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6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应拥有一支与办学规模、专业设置和培养层次相适应的专兼职教师队伍。学制教育师生比不低于1∶18。</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达标得3分；不达标且不少于标准10%的减1分。其他不达标的不得分。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近三年教师花名册及在职情况佐证材料、在校学生花名册。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79"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教师结构</w:t>
            </w: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6-2-1学历结构</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本专业教师学历符合国家规定学历的比例。</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本专业教师学历达标率90%以上（含）计4分；本专业教师学历达标率80%以上（含）计3分；本专业教师学历达标率在80%下计1分。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对应评估内涵标准的教师分类型统计资料；任课教师毕业证书、学位证书、职业资格（技能等级）证书、职称证书、聘书(或批文)，专任教师花名册；上级批准职称的文件。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6-2-2职称结构</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本专业任课教师（不含没有兼课的管理人员）中高级职称人数与中级职称人数分别占本专业教师数的比例。</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1、中高级职称人数占到70%以上（含），其中，高级职称人数达到20%以上（含）得5分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2、中高级职称人数达到65%以上（含），其中，高级职称人数达到15%以上（含）得4分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3、中高级职称人数达到60%以上，其中，高级职称人数在10%以上得3分。55%以上得2分，50%以上得1分，50%以下不得分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对应评估内涵标准的教师分类型统计资料；任课教师毕业证书、学位证书、职业资格（技能等级）证书、职称证书、聘书(或批文)，专任教师花名册；上级批准职称的文件。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6-2-3“双师型”教师</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spacing w:line="28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本专业教师中“双师型”教师的比例。1、“双师型”教师指具有中级以上教师职称，同时符合下列条件之一者：（1）具有其它专业或相关专业技术职称；（2）具有高级工以上职业资格证书；（3）主持本校专业实践项目的教学研究与开发工作并有相应的教学成果。</w:t>
            </w:r>
          </w:p>
          <w:p>
            <w:pPr>
              <w:spacing w:line="280" w:lineRule="exact"/>
              <w:jc w:val="left"/>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2、专业教师实践年限不满半年按半年计算，超过半年按1年计算；</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3、评分标准中的一项不达标，相应降低一个等级评分。</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1、专业教师平均实践年限5年以上（含），其中，“双师型”教师比例达30%以上（含）得3分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2、专业教师平均实践年限3年以上（含），其中，“双师型”教师比例达25%以上（含）得2分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3、专业教师平均实践年限低于3年，其中，“双师型”教师比例低于20%得1分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对应评估内涵标准的教师分类型统计资料；任课教师毕业证书、学位证书、职业资格（技能等级）证书、职称证书、聘书(或批文)，专任教师花名册；上级批准职称的文件，教师业务档案及相关统计资料。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6-2-4专业学科带头人</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本专业有市级以上专业或学科带头人1人以上</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有国家级专业（学科）带头人得3分，省级2分，市级专业（学科）带头人得1分，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专业或学科带头人荣誉证书或证明文件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6-2-5专业教师配备</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专业主干课程均由本专业任课教师任教，师资配务合理。</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符合内涵要求，专业主干课程教师具有中级及以上技术职务得3分；符合内涵要求，多数专业主干课程任课教师具有中级及以上技术职务得2分；基本符合内涵要求得1分。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近两年专业教师教学任务书及课程安排等教学资料；教师备课教案。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6-2-6实习指导教师</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1、本专业实习指导教师数量能满足实习教学要求；2、专业实习指导教师结构合理，具有中等职业学校及以上学历；3、实验、实习指导教师中级职称或具有高级工以上职业资格人员占60%以上。</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1、结构合理，满足教学要求，中级职称或高级工以上人员占60%以上（含）得2分；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2、结构基本合理，满足教学要求，中级职称或高级工以上人员占50%以上（含）得1.5分；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3、中级职称或高级工以上职业资格人员在50%以下得1分。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1、本专业实习指导教师名册；</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2、实习指导教师学历证书、职称证书、职业资格证书。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344"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6-2-7外聘教师、顾问或专家</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专业教学有一支相对稳定、数量适宜、教学水平较高的外聘教师队伍</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1、从企业、科研院校所或相关行业聘请教学水平较高且实践经验丰富的外聘教师、专家占专任教师数10~30%，其中二分之一以上连续聘用2年以上（含）得2分</w:t>
            </w:r>
          </w:p>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2、外聘教师占专任教师数不低于10%，高于30%，其中1/2以上未连续聘任2年（含）以上得1分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1、外聘教师花名册及聘任资料；2、近2年外聘教师参与教学的相关资料；近2年人课程表。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955"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6-3</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教师职业能力</w:t>
            </w:r>
          </w:p>
        </w:tc>
        <w:tc>
          <w:tcPr>
            <w:tcW w:w="757" w:type="dxa"/>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6-3-1教师参赛</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积极参加市级及以上教育部门、人社部门组织的教师职业能力、教学设计、技能比赛等教师类竞赛活动，参赛成绩突出；指导学生参加职业技能大赛成绩突出。</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全国大赛一等奖每次得1分，二等奖每次得0.6分，三等奖每次得0.3分；全省大赛一等奖每次0.3分，二等奖每次0.2分。获市级竞赛一等奖的每次0.2分，二等奖每次加0.1分，获市级竞赛三等奖的加0.05分。同一竞赛同一届同一人多级获奖的，以最高分计算，不重复累计。</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近三年教师参加市级及以上教育部门、人社部门组织的教师职业能力、教学设计、技能比赛等教师类竞赛活动通报获奖文件、指导老师通报获奖文件，名单汇总表。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0"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6-3-2教科研能力</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教研活动有效开展；2、本专业教师承担主编、评审（或参编达1/3以上）部、省级规划教材或行业专用教材；3、本专业教师近三年在省部级以上刊物公开发表论文，平均每年1篇（含）以上。4、教师积极参与部省级项目与课题研究并取得研究成果；学校教师参与教学研究、技术改新、实用专利、发明设计等得到权威机构认可并用于实践发挥作用。</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有教研机构并正常开展教科研活动得基础分1分。相关教科研成果、论文在省级以上获一等奖的加0.3分，二等奖加0.2分，三等奖加0.1分，或经省级认定的每个加0.3分；开发校本教材且校内连续使用一年以上的每例加0.2分。本项分值加满为止</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教研机构情况、教研活动记录等；课题研究、论文发表、技术革新、发明专利、经费落实等相关佐证材料；应用技术研究成果及推广服务，校本教材及出版教材相关材料。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0"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6-3-3信息化教学能力</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1、专业教师在教学、科研中能比较熟练运用计算机；2、能运用计算机多媒体课件教学的教师不少于50%；3、45岁以下的专业教师至少掌握了一种与教学相关的应用软件。</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符合上述三项要求，教师计算机及多媒体课件教学运用能力强得2分。2、基本符合上述三项要求，教师计算机及多媒体课件教学运用能力较强得1分。3、符合上述两项要求，教师计算机及多媒体课件教学运用能力一般得0.5分。</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教师制作的信息化教学资源清单。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620"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6-3-4教师培训</w:t>
            </w: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专业教师的业务培训有计划、有措施、有效果。教师教学能力不断提升，每年参加校本、校外培训的教师人数占教师总人数的20%以上。</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1、制定了本专业教师中、长期培训计划、培训目的明确，措施得力，专业教师二年内人均培训时间达到56学时；　教师培训未达到标准的，每少5%减0.5分酌情计2分。2、有计划、有措施，专业教师两年内人均培训时间达40学时（含）以上，效果较好计1分； 3、有计划，措施一般，专业教师参加培训两面三刀年内人均达到28学时（含）以上计0.5分。</w:t>
            </w:r>
          </w:p>
        </w:tc>
        <w:tc>
          <w:tcPr>
            <w:tcW w:w="3260"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该专业的教师培训计划和近两年的实际培训资料（包括毕业证书、结业证书、学习成绩证明、培训证书等）。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775" w:hRule="atLeast"/>
        </w:trPr>
        <w:tc>
          <w:tcPr>
            <w:tcW w:w="756" w:type="dxa"/>
            <w:vMerge w:val="restart"/>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7、毕业就业（12分）</w:t>
            </w: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7-1</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毕业生就业率、取证率</w:t>
            </w: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近三年，毕业生每年就业率达95％以上。学生取得职业资格、技能等级等证书人数占毕业生总数的95%以上。</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毕业生就业率98％及以上，“双证书毕业人生98%以上，有一定数量学生自主创业，得4分。低于以上比例，每低5%，减0.5分，本项分值减完为止。</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近三年毕业生就业档案、相关合同、毕业生就业情况统计表、证书核发名册及有关证明材料。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590"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7-2</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省内就业率</w:t>
            </w: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3</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毕业生省内就业率比例达60%以上。</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毕业生省内就业率60％及以上，有一定数量学生自主创业，得3分。低于以上比例，每低5%，减0.5分，本项分值减完为止。</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在省内就业和创新创业的情况统计表及有关证明材料。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trHeight w:val="828" w:hRule="atLeast"/>
        </w:trPr>
        <w:tc>
          <w:tcPr>
            <w:tcW w:w="756" w:type="dxa"/>
            <w:vMerge w:val="continue"/>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p>
        </w:tc>
        <w:tc>
          <w:tcPr>
            <w:tcW w:w="1091" w:type="dxa"/>
            <w:noWrap/>
            <w:vAlign w:val="center"/>
          </w:tcPr>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7-3</w:t>
            </w:r>
          </w:p>
          <w:p>
            <w:pPr>
              <w:widowControl/>
              <w:spacing w:line="260" w:lineRule="exact"/>
              <w:jc w:val="center"/>
              <w:textAlignment w:val="center"/>
              <w:rPr>
                <w:rFonts w:hint="eastAsia" w:ascii="仿宋_GB2312" w:hAnsi="仿宋_GB2312" w:eastAsia="仿宋_GB2312" w:cs="仿宋_GB2312"/>
                <w:bCs/>
                <w:kern w:val="0"/>
                <w:sz w:val="18"/>
                <w:szCs w:val="18"/>
              </w:rPr>
            </w:pPr>
            <w:r>
              <w:rPr>
                <w:rFonts w:hint="eastAsia" w:ascii="仿宋_GB2312" w:hAnsi="仿宋_GB2312" w:eastAsia="仿宋_GB2312" w:cs="仿宋_GB2312"/>
                <w:bCs/>
                <w:kern w:val="0"/>
                <w:sz w:val="18"/>
                <w:szCs w:val="18"/>
              </w:rPr>
              <w:t>毕业生就业质量评估</w:t>
            </w:r>
          </w:p>
        </w:tc>
        <w:tc>
          <w:tcPr>
            <w:tcW w:w="757" w:type="dxa"/>
            <w:vAlign w:val="center"/>
          </w:tcPr>
          <w:p>
            <w:pPr>
              <w:widowControl/>
              <w:spacing w:line="280" w:lineRule="exact"/>
              <w:jc w:val="left"/>
              <w:textAlignment w:val="center"/>
              <w:rPr>
                <w:rFonts w:hint="eastAsia" w:ascii="仿宋_GB2312" w:hAnsi="仿宋_GB2312" w:eastAsia="仿宋_GB2312" w:cs="仿宋_GB2312"/>
                <w:kern w:val="0"/>
                <w:sz w:val="18"/>
                <w:szCs w:val="18"/>
              </w:rPr>
            </w:pPr>
          </w:p>
        </w:tc>
        <w:tc>
          <w:tcPr>
            <w:tcW w:w="567" w:type="dxa"/>
            <w:noWrap/>
            <w:vAlign w:val="center"/>
          </w:tcPr>
          <w:p>
            <w:pPr>
              <w:widowControl/>
              <w:spacing w:line="280" w:lineRule="exact"/>
              <w:jc w:val="center"/>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w:t>
            </w:r>
          </w:p>
        </w:tc>
        <w:tc>
          <w:tcPr>
            <w:tcW w:w="4678"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毕业生及家长对就业及薪资待遇满意度高；实习用人单位对毕业生综合素质、稳定率及院校办学的满意度高。</w:t>
            </w:r>
          </w:p>
        </w:tc>
        <w:tc>
          <w:tcPr>
            <w:tcW w:w="4111" w:type="dxa"/>
            <w:noWrap/>
            <w:vAlign w:val="center"/>
          </w:tcPr>
          <w:p>
            <w:pPr>
              <w:widowControl/>
              <w:spacing w:line="28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调查综合满意率98%以上的得5分；低于98%的，每少5个百分点减1分，本项分值减完为止。</w:t>
            </w:r>
          </w:p>
        </w:tc>
        <w:tc>
          <w:tcPr>
            <w:tcW w:w="3260" w:type="dxa"/>
            <w:noWrap/>
            <w:vAlign w:val="center"/>
          </w:tcPr>
          <w:p>
            <w:pPr>
              <w:widowControl/>
              <w:spacing w:line="260" w:lineRule="exact"/>
              <w:jc w:val="left"/>
              <w:textAlignment w:val="center"/>
              <w:rPr>
                <w:rFonts w:hint="eastAsia"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用人单位问卷调查表统计表。</w:t>
            </w:r>
          </w:p>
        </w:tc>
      </w:tr>
      <w:bookmarkEnd w:id="0"/>
    </w:tbl>
    <w:p/>
    <w:sectPr>
      <w:footerReference r:id="rId3" w:type="default"/>
      <w:footerReference r:id="rId4" w:type="even"/>
      <w:pgSz w:w="16838" w:h="11906" w:orient="landscape"/>
      <w:pgMar w:top="680" w:right="851"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方正小标宋简体">
    <w:altName w:val="仿宋_GB2312"/>
    <w:panose1 w:val="00000000000000000000"/>
    <w:charset w:val="86"/>
    <w:family w:val="auto"/>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Lucida Sans Unicode">
    <w:panose1 w:val="020B0602030504020204"/>
    <w:charset w:val="00"/>
    <w:family w:val="auto"/>
    <w:pitch w:val="default"/>
    <w:sig w:usb0="80001AFF" w:usb1="0000396B" w:usb2="00000000" w:usb3="00000000" w:csb0="0000003F" w:csb1="D7F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Fonts w:ascii="宋体" w:hAnsi="宋体"/>
        <w:sz w:val="28"/>
        <w:szCs w:val="28"/>
      </w:rPr>
    </w:pPr>
    <w:r>
      <w:rPr>
        <w:rFonts w:ascii="宋体" w:hAnsi="宋体"/>
        <w:sz w:val="28"/>
        <w:szCs w:val="28"/>
      </w:rPr>
      <w:fldChar w:fldCharType="begin"/>
    </w:r>
    <w:r>
      <w:rPr>
        <w:rStyle w:val="6"/>
        <w:rFonts w:ascii="宋体" w:hAnsi="宋体"/>
        <w:sz w:val="28"/>
        <w:szCs w:val="28"/>
      </w:rPr>
      <w:instrText xml:space="preserve">PAGE  </w:instrText>
    </w:r>
    <w:r>
      <w:rPr>
        <w:rFonts w:ascii="宋体" w:hAnsi="宋体"/>
        <w:sz w:val="28"/>
        <w:szCs w:val="28"/>
      </w:rPr>
      <w:fldChar w:fldCharType="separate"/>
    </w:r>
    <w:r>
      <w:rPr>
        <w:rStyle w:val="6"/>
        <w:rFonts w:ascii="宋体" w:hAnsi="宋体"/>
        <w:sz w:val="28"/>
        <w:szCs w:val="28"/>
      </w:rPr>
      <w:t>1</w:t>
    </w:r>
    <w:r>
      <w:rPr>
        <w:rFonts w:ascii="宋体" w:hAnsi="宋体"/>
        <w:sz w:val="28"/>
        <w:szCs w:val="28"/>
      </w:rPr>
      <w:fldChar w:fldCharType="end"/>
    </w:r>
  </w:p>
  <w:p>
    <w:pPr>
      <w:pStyle w:val="2"/>
      <w:ind w:right="360" w:firstLine="360"/>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separate"/>
    </w:r>
    <w:r>
      <w:rPr>
        <w:rStyle w:val="6"/>
      </w:rPr>
      <w:t>- 2 -</w:t>
    </w:r>
    <w: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E3573"/>
    <w:rsid w:val="000011AD"/>
    <w:rsid w:val="00043124"/>
    <w:rsid w:val="000A1463"/>
    <w:rsid w:val="000C0EFF"/>
    <w:rsid w:val="000F5C53"/>
    <w:rsid w:val="00122099"/>
    <w:rsid w:val="00143934"/>
    <w:rsid w:val="00151366"/>
    <w:rsid w:val="001518EC"/>
    <w:rsid w:val="0019323A"/>
    <w:rsid w:val="00196CFC"/>
    <w:rsid w:val="001A11DD"/>
    <w:rsid w:val="001E4398"/>
    <w:rsid w:val="00240754"/>
    <w:rsid w:val="00264542"/>
    <w:rsid w:val="002715E9"/>
    <w:rsid w:val="003C1F9D"/>
    <w:rsid w:val="004214B5"/>
    <w:rsid w:val="004A3C25"/>
    <w:rsid w:val="004A42D7"/>
    <w:rsid w:val="004B5326"/>
    <w:rsid w:val="004E06EA"/>
    <w:rsid w:val="004E6C14"/>
    <w:rsid w:val="005000D9"/>
    <w:rsid w:val="00503A70"/>
    <w:rsid w:val="00523A89"/>
    <w:rsid w:val="0055160C"/>
    <w:rsid w:val="005738E6"/>
    <w:rsid w:val="005A57A0"/>
    <w:rsid w:val="005E0262"/>
    <w:rsid w:val="005F29E8"/>
    <w:rsid w:val="00627793"/>
    <w:rsid w:val="00633C49"/>
    <w:rsid w:val="00641019"/>
    <w:rsid w:val="00654C18"/>
    <w:rsid w:val="00665445"/>
    <w:rsid w:val="006864B9"/>
    <w:rsid w:val="006B1C69"/>
    <w:rsid w:val="006C1E84"/>
    <w:rsid w:val="006D2078"/>
    <w:rsid w:val="006E3398"/>
    <w:rsid w:val="0070619E"/>
    <w:rsid w:val="00746DC5"/>
    <w:rsid w:val="007E3573"/>
    <w:rsid w:val="008265B7"/>
    <w:rsid w:val="00865D32"/>
    <w:rsid w:val="00944D4D"/>
    <w:rsid w:val="009453ED"/>
    <w:rsid w:val="00946010"/>
    <w:rsid w:val="00954822"/>
    <w:rsid w:val="00960FD3"/>
    <w:rsid w:val="0097092C"/>
    <w:rsid w:val="00973AC9"/>
    <w:rsid w:val="0099542F"/>
    <w:rsid w:val="009C02D2"/>
    <w:rsid w:val="00A23777"/>
    <w:rsid w:val="00A81E1B"/>
    <w:rsid w:val="00A84752"/>
    <w:rsid w:val="00AB18E2"/>
    <w:rsid w:val="00AD1B07"/>
    <w:rsid w:val="00B0174E"/>
    <w:rsid w:val="00B040DD"/>
    <w:rsid w:val="00B4115B"/>
    <w:rsid w:val="00B825BE"/>
    <w:rsid w:val="00B970C1"/>
    <w:rsid w:val="00BB1874"/>
    <w:rsid w:val="00BF1E31"/>
    <w:rsid w:val="00C31F5D"/>
    <w:rsid w:val="00C337DE"/>
    <w:rsid w:val="00D615C4"/>
    <w:rsid w:val="00D72C9D"/>
    <w:rsid w:val="00D84B6C"/>
    <w:rsid w:val="00DA2FDF"/>
    <w:rsid w:val="00DA6C20"/>
    <w:rsid w:val="00DB247E"/>
    <w:rsid w:val="00DE175D"/>
    <w:rsid w:val="00DF4474"/>
    <w:rsid w:val="00DF6B90"/>
    <w:rsid w:val="00DF76F3"/>
    <w:rsid w:val="00E222BB"/>
    <w:rsid w:val="00E538AE"/>
    <w:rsid w:val="00E55B79"/>
    <w:rsid w:val="00E56E13"/>
    <w:rsid w:val="00EA030F"/>
    <w:rsid w:val="00EB3ED0"/>
    <w:rsid w:val="00ED5611"/>
    <w:rsid w:val="00F00CB1"/>
    <w:rsid w:val="00F60FB2"/>
    <w:rsid w:val="00FA6BA6"/>
    <w:rsid w:val="132878F3"/>
    <w:rsid w:val="2E894E06"/>
    <w:rsid w:val="3D015D9C"/>
    <w:rsid w:val="3F0D479D"/>
    <w:rsid w:val="6C035C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0"/>
  </w:style>
  <w:style w:type="character" w:customStyle="1" w:styleId="7">
    <w:name w:val="页脚 Char"/>
    <w:basedOn w:val="5"/>
    <w:link w:val="2"/>
    <w:uiPriority w:val="0"/>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 w:type="character" w:customStyle="1" w:styleId="9">
    <w:name w:val="页眉 Char"/>
    <w:basedOn w:val="5"/>
    <w:link w:val="3"/>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800</Words>
  <Characters>4561</Characters>
  <Lines>38</Lines>
  <Paragraphs>10</Paragraphs>
  <TotalTime>2028</TotalTime>
  <ScaleCrop>false</ScaleCrop>
  <LinksUpToDate>false</LinksUpToDate>
  <CharactersWithSpaces>5351</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2019-09-10T00:17:00Z</dcterms:created>
  <dc:creator>Administrator</dc:creator>
  <cp:lastModifiedBy>Administrator</cp:lastModifiedBy>
  <cp:lastPrinted>2019-09-11T03:04:00Z</cp:lastPrinted>
  <dcterms:modified xsi:type="dcterms:W3CDTF">2020-06-11T07:47:56Z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