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eastAsia="仿宋"/>
          <w:sz w:val="32"/>
          <w:szCs w:val="32"/>
        </w:rPr>
      </w:pPr>
      <w:r>
        <w:rPr>
          <w:rFonts w:hAnsi="仿宋" w:eastAsia="仿宋"/>
          <w:sz w:val="32"/>
          <w:szCs w:val="32"/>
        </w:rPr>
        <w:t>附</w:t>
      </w:r>
      <w:r>
        <w:rPr>
          <w:rFonts w:hint="eastAsia" w:hAnsi="仿宋" w:eastAsia="仿宋"/>
          <w:sz w:val="32"/>
          <w:szCs w:val="32"/>
        </w:rPr>
        <w:t>1</w:t>
      </w:r>
      <w:r>
        <w:rPr>
          <w:rFonts w:hAnsi="仿宋" w:eastAsia="仿宋"/>
          <w:sz w:val="32"/>
          <w:szCs w:val="32"/>
        </w:rPr>
        <w:t>：</w:t>
      </w:r>
    </w:p>
    <w:p>
      <w:pPr>
        <w:pStyle w:val="2"/>
        <w:widowControl w:val="0"/>
        <w:adjustRightInd w:val="0"/>
        <w:snapToGrid w:val="0"/>
        <w:spacing w:beforeLines="100" w:beforeAutospacing="0" w:afterLines="100" w:afterAutospacing="0" w:line="360" w:lineRule="auto"/>
        <w:jc w:val="center"/>
        <w:rPr>
          <w:rFonts w:ascii="方正小标宋_GBK" w:eastAsia="方正小标宋_GBK" w:hAnsiTheme="minorEastAsia"/>
          <w:b w:val="0"/>
          <w:sz w:val="44"/>
          <w:szCs w:val="44"/>
        </w:rPr>
      </w:pPr>
      <w:r>
        <w:rPr>
          <w:rFonts w:hint="eastAsia" w:ascii="方正小标宋_GBK" w:eastAsia="方正小标宋_GBK" w:hAnsiTheme="minorEastAsia"/>
          <w:b w:val="0"/>
          <w:sz w:val="44"/>
          <w:szCs w:val="44"/>
        </w:rPr>
        <w:t>本专科生国家奖学金实施细则</w:t>
      </w:r>
    </w:p>
    <w:p>
      <w:pPr>
        <w:adjustRightInd w:val="0"/>
        <w:snapToGrid w:val="0"/>
        <w:spacing w:line="360" w:lineRule="auto"/>
        <w:ind w:firstLine="642" w:firstLineChars="200"/>
        <w:jc w:val="left"/>
        <w:rPr>
          <w:rFonts w:eastAsia="仿宋_GB2312"/>
          <w:color w:val="000000" w:themeColor="text1"/>
          <w:kern w:val="2"/>
          <w:sz w:val="32"/>
          <w:szCs w:val="28"/>
        </w:rPr>
      </w:pPr>
      <w:r>
        <w:rPr>
          <w:rFonts w:hint="eastAsia" w:eastAsia="仿宋_GB2312"/>
          <w:b/>
          <w:color w:val="000000" w:themeColor="text1"/>
          <w:kern w:val="2"/>
          <w:sz w:val="32"/>
          <w:szCs w:val="28"/>
        </w:rPr>
        <w:t>第一条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本专科生国家奖学金（以下简称国家奖学金）</w:t>
      </w:r>
      <w:r>
        <w:rPr>
          <w:rFonts w:hint="eastAsia" w:eastAsia="仿宋_GB2312"/>
          <w:color w:val="000000" w:themeColor="text1"/>
          <w:kern w:val="2"/>
          <w:sz w:val="32"/>
          <w:szCs w:val="28"/>
          <w:lang w:eastAsia="zh-CN"/>
        </w:rPr>
        <w:t>，</w:t>
      </w:r>
      <w:r>
        <w:rPr>
          <w:rFonts w:hint="eastAsia" w:eastAsia="仿宋_GB2312"/>
          <w:color w:val="000000" w:themeColor="text1"/>
          <w:kern w:val="2"/>
          <w:sz w:val="32"/>
          <w:szCs w:val="28"/>
        </w:rPr>
        <w:t>用于奖励纳入全国招生计划内的高校全日制本专科（含高职、第二学士学位）学生中特别优秀的学生，激励学生勤奋学习、努力进取，德、智、体、美、劳全面发展。</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第二条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国家奖学金的基本申请条件</w:t>
      </w:r>
      <w:r>
        <w:rPr>
          <w:rFonts w:eastAsia="仿宋_GB2312"/>
          <w:color w:val="000000" w:themeColor="text1"/>
          <w:kern w:val="2"/>
          <w:sz w:val="32"/>
          <w:szCs w:val="28"/>
        </w:rPr>
        <w:t>:</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（一）具有中华人民共和国国籍；</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（二）热爱祖国，拥护中国共产党的领导；</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（三）遵守宪法和法律，遵守学校规章制度；</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（四）诚实守信，道德品质优良；</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（五）在校期间学习成绩优异，社会实践、创新能力、综合素质等方面特别突出。</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第三条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获得国家奖学金的学生为高校在校生中二</w:t>
      </w:r>
      <w:r>
        <w:rPr>
          <w:rFonts w:eastAsia="仿宋_GB2312"/>
          <w:color w:val="000000" w:themeColor="text1"/>
          <w:kern w:val="2"/>
          <w:sz w:val="32"/>
          <w:szCs w:val="28"/>
        </w:rPr>
        <w:t>年级</w:t>
      </w:r>
      <w:r>
        <w:rPr>
          <w:rFonts w:hint="eastAsia" w:eastAsia="仿宋_GB2312"/>
          <w:color w:val="000000" w:themeColor="text1"/>
          <w:kern w:val="2"/>
          <w:sz w:val="32"/>
          <w:szCs w:val="28"/>
        </w:rPr>
        <w:t>以上（含二</w:t>
      </w:r>
      <w:r>
        <w:rPr>
          <w:rFonts w:eastAsia="仿宋_GB2312"/>
          <w:color w:val="000000" w:themeColor="text1"/>
          <w:kern w:val="2"/>
          <w:sz w:val="32"/>
          <w:szCs w:val="28"/>
        </w:rPr>
        <w:t>年级</w:t>
      </w:r>
      <w:r>
        <w:rPr>
          <w:rFonts w:hint="eastAsia" w:eastAsia="仿宋_GB2312"/>
          <w:color w:val="000000" w:themeColor="text1"/>
          <w:kern w:val="2"/>
          <w:sz w:val="32"/>
          <w:szCs w:val="28"/>
        </w:rPr>
        <w:t>）的</w:t>
      </w:r>
      <w:r>
        <w:rPr>
          <w:rFonts w:eastAsia="仿宋_GB2312"/>
          <w:color w:val="000000" w:themeColor="text1"/>
          <w:kern w:val="2"/>
          <w:sz w:val="32"/>
          <w:szCs w:val="28"/>
        </w:rPr>
        <w:t>学生</w:t>
      </w:r>
      <w:r>
        <w:rPr>
          <w:rFonts w:hint="eastAsia" w:eastAsia="仿宋_GB2312"/>
          <w:color w:val="000000" w:themeColor="text1"/>
          <w:kern w:val="2"/>
          <w:sz w:val="32"/>
          <w:szCs w:val="28"/>
        </w:rPr>
        <w:t>。同一学年内，获得国家奖学金的家庭经济困难学生可以同时申请并获得国家助学金，但不能同时获得</w:t>
      </w:r>
      <w:r>
        <w:rPr>
          <w:rFonts w:hint="eastAsia" w:eastAsia="仿宋_GB2312"/>
          <w:color w:val="000000" w:themeColor="text1"/>
          <w:kern w:val="2"/>
          <w:sz w:val="32"/>
          <w:szCs w:val="28"/>
          <w:lang w:eastAsia="zh-CN"/>
        </w:rPr>
        <w:t>本专科生</w:t>
      </w:r>
      <w:r>
        <w:rPr>
          <w:rFonts w:hint="eastAsia" w:eastAsia="仿宋_GB2312"/>
          <w:color w:val="000000" w:themeColor="text1"/>
          <w:kern w:val="2"/>
          <w:sz w:val="32"/>
          <w:szCs w:val="28"/>
        </w:rPr>
        <w:t>国家励志奖学金。</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第四条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中央高校国家奖学金的名额由财政部商教育部确定。地方高校国家奖学金的名额由各省（自治区、直辖市、计划单列市，</w:t>
      </w:r>
      <w:r>
        <w:rPr>
          <w:rFonts w:hint="eastAsia" w:eastAsia="仿宋_GB2312"/>
          <w:color w:val="000000" w:themeColor="text1"/>
          <w:kern w:val="2"/>
          <w:sz w:val="32"/>
          <w:szCs w:val="28"/>
          <w:lang w:eastAsia="zh-CN"/>
        </w:rPr>
        <w:t>以下统称省</w:t>
      </w:r>
      <w:r>
        <w:rPr>
          <w:rFonts w:hint="eastAsia" w:eastAsia="仿宋_GB2312"/>
          <w:color w:val="000000" w:themeColor="text1"/>
          <w:kern w:val="2"/>
          <w:sz w:val="32"/>
          <w:szCs w:val="28"/>
        </w:rPr>
        <w:t>）根据财政部、教育部确定的总人数，以及高校数量、类别、办学层次、办学质量、在校本专科生人数等因素确定。在分配国家奖学金名额时，对办学水平较高的高校、以农林水地矿油核等学科专业为主的高校予以适当倾斜。</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第五条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全国学生资助管理中心提出各省和中央主管部门所属高校国家奖学金名额分配建议方案，报财政部、教育部审批。</w:t>
      </w:r>
    </w:p>
    <w:p>
      <w:pPr>
        <w:adjustRightInd w:val="0"/>
        <w:snapToGrid w:val="0"/>
        <w:spacing w:line="360" w:lineRule="auto"/>
        <w:ind w:firstLine="642" w:firstLineChars="200"/>
        <w:rPr>
          <w:rFonts w:hint="eastAsia" w:eastAsia="仿宋_GB2312"/>
          <w:color w:val="000000" w:themeColor="text1"/>
          <w:kern w:val="2"/>
          <w:sz w:val="32"/>
          <w:szCs w:val="28"/>
        </w:rPr>
      </w:pPr>
      <w:r>
        <w:rPr>
          <w:rFonts w:hint="eastAsia" w:eastAsia="仿宋_GB2312"/>
          <w:b/>
          <w:color w:val="000000" w:themeColor="text1"/>
          <w:kern w:val="2"/>
          <w:sz w:val="32"/>
          <w:szCs w:val="28"/>
        </w:rPr>
        <w:t>第六条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财政部、教育部将审定的中央高校国家奖学金分配名额下达全国学生资助管理中心，并抄送中央主管部门。全国学生资助管理中心将国家奖学金名额书面告知中央高校。</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财政部、教育部将审定的地方高校国家奖学金分配名额下达省级财政、教育部门。省级财政、教育部门按程序将国家奖学金名额下达相关高校。</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第七条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国家奖学金每学年评审一次，实行等额评审，坚持公开、公平、公正、择优的原则。</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第八条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高校学生资助管理机构具体负责组织评审工作，提出本校当年国家奖学金获奖学生建议名单，报学校评审领导小组研究审定后，在校内进行不少于</w:t>
      </w:r>
      <w:r>
        <w:rPr>
          <w:rFonts w:eastAsia="仿宋_GB2312"/>
          <w:color w:val="000000" w:themeColor="text1"/>
          <w:kern w:val="2"/>
          <w:sz w:val="32"/>
          <w:szCs w:val="28"/>
        </w:rPr>
        <w:t>5</w:t>
      </w:r>
      <w:r>
        <w:rPr>
          <w:rFonts w:hint="eastAsia" w:eastAsia="仿宋_GB2312"/>
          <w:color w:val="000000" w:themeColor="text1"/>
          <w:kern w:val="2"/>
          <w:sz w:val="32"/>
          <w:szCs w:val="28"/>
        </w:rPr>
        <w:t>个工作日的公示。</w:t>
      </w:r>
    </w:p>
    <w:p>
      <w:pPr>
        <w:adjustRightInd w:val="0"/>
        <w:snapToGrid w:val="0"/>
        <w:spacing w:line="360" w:lineRule="auto"/>
        <w:ind w:firstLine="640" w:firstLineChars="200"/>
        <w:rPr>
          <w:rFonts w:eastAsia="仿宋_GB2312"/>
          <w:color w:val="000000" w:themeColor="text1"/>
          <w:kern w:val="2"/>
          <w:sz w:val="32"/>
          <w:szCs w:val="28"/>
        </w:rPr>
      </w:pPr>
      <w:r>
        <w:rPr>
          <w:rFonts w:hint="eastAsia" w:eastAsia="仿宋_GB2312"/>
          <w:color w:val="000000" w:themeColor="text1"/>
          <w:kern w:val="2"/>
          <w:sz w:val="32"/>
          <w:szCs w:val="28"/>
        </w:rPr>
        <w:t>公示无异议后，每年</w:t>
      </w:r>
      <w:r>
        <w:rPr>
          <w:rFonts w:eastAsia="仿宋_GB2312"/>
          <w:color w:val="000000" w:themeColor="text1"/>
          <w:kern w:val="2"/>
          <w:sz w:val="32"/>
          <w:szCs w:val="28"/>
        </w:rPr>
        <w:t>10</w:t>
      </w:r>
      <w:r>
        <w:rPr>
          <w:rFonts w:hint="eastAsia" w:eastAsia="仿宋_GB2312"/>
          <w:color w:val="000000" w:themeColor="text1"/>
          <w:kern w:val="2"/>
          <w:sz w:val="32"/>
          <w:szCs w:val="28"/>
        </w:rPr>
        <w:t>月</w:t>
      </w:r>
      <w:r>
        <w:rPr>
          <w:rFonts w:eastAsia="仿宋_GB2312"/>
          <w:color w:val="000000" w:themeColor="text1"/>
          <w:kern w:val="2"/>
          <w:sz w:val="32"/>
          <w:szCs w:val="28"/>
        </w:rPr>
        <w:t>31</w:t>
      </w:r>
      <w:r>
        <w:rPr>
          <w:rFonts w:hint="eastAsia" w:eastAsia="仿宋_GB2312"/>
          <w:color w:val="000000" w:themeColor="text1"/>
          <w:kern w:val="2"/>
          <w:sz w:val="32"/>
          <w:szCs w:val="28"/>
        </w:rPr>
        <w:t>日前，中央高校将评审结果报中央主管部门，地方高校将评审结果逐级报至省级教育部门。中央主管部门和省级教育部门审核、汇总后，于1</w:t>
      </w:r>
      <w:r>
        <w:rPr>
          <w:rFonts w:eastAsia="仿宋_GB2312"/>
          <w:color w:val="000000" w:themeColor="text1"/>
          <w:kern w:val="2"/>
          <w:sz w:val="32"/>
          <w:szCs w:val="28"/>
        </w:rPr>
        <w:t>1</w:t>
      </w:r>
      <w:r>
        <w:rPr>
          <w:rFonts w:hint="eastAsia" w:eastAsia="仿宋_GB2312"/>
          <w:color w:val="000000" w:themeColor="text1"/>
          <w:kern w:val="2"/>
          <w:sz w:val="32"/>
          <w:szCs w:val="28"/>
        </w:rPr>
        <w:t>月10日前统一报教育部审批。</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第九条</w:t>
      </w:r>
      <w:r>
        <w:rPr>
          <w:rFonts w:hint="eastAsia" w:eastAsia="仿宋_GB2312"/>
          <w:b/>
          <w:color w:val="000000" w:themeColor="text1"/>
          <w:kern w:val="2"/>
          <w:sz w:val="32"/>
          <w:szCs w:val="28"/>
          <w:lang w:val="en-US" w:eastAsia="zh-CN"/>
        </w:rPr>
        <w:t xml:space="preserve"> </w:t>
      </w:r>
      <w:r>
        <w:rPr>
          <w:rFonts w:hint="eastAsia" w:eastAsia="仿宋_GB2312"/>
          <w:color w:val="000000" w:themeColor="text1"/>
          <w:kern w:val="2"/>
          <w:sz w:val="32"/>
          <w:szCs w:val="28"/>
        </w:rPr>
        <w:t>高校于每年12月</w:t>
      </w:r>
      <w:r>
        <w:rPr>
          <w:rFonts w:eastAsia="仿宋_GB2312"/>
          <w:color w:val="000000" w:themeColor="text1"/>
          <w:kern w:val="2"/>
          <w:sz w:val="32"/>
          <w:szCs w:val="28"/>
        </w:rPr>
        <w:t>3</w:t>
      </w:r>
      <w:r>
        <w:rPr>
          <w:rFonts w:hint="eastAsia" w:eastAsia="仿宋_GB2312"/>
          <w:color w:val="000000" w:themeColor="text1"/>
          <w:kern w:val="2"/>
          <w:sz w:val="32"/>
          <w:szCs w:val="28"/>
        </w:rPr>
        <w:t>1日前将当年国家奖学金一次性发放给获奖学生,并将获得国家奖学金情况记入学生学籍档案。</w:t>
      </w:r>
    </w:p>
    <w:p>
      <w:pPr>
        <w:adjustRightInd w:val="0"/>
        <w:snapToGrid w:val="0"/>
        <w:spacing w:line="360" w:lineRule="auto"/>
        <w:ind w:firstLine="642" w:firstLineChars="200"/>
        <w:rPr>
          <w:rFonts w:eastAsia="仿宋_GB2312"/>
          <w:color w:val="000000" w:themeColor="text1"/>
          <w:kern w:val="2"/>
          <w:sz w:val="32"/>
          <w:szCs w:val="28"/>
        </w:rPr>
      </w:pPr>
      <w:r>
        <w:rPr>
          <w:rFonts w:hint="eastAsia" w:eastAsia="仿宋_GB2312"/>
          <w:b/>
          <w:color w:val="000000" w:themeColor="text1"/>
          <w:kern w:val="2"/>
          <w:sz w:val="32"/>
          <w:szCs w:val="28"/>
        </w:rPr>
        <w:t>第十条</w:t>
      </w:r>
      <w:r>
        <w:rPr>
          <w:rFonts w:hint="eastAsia" w:eastAsia="仿宋_GB2312"/>
          <w:b/>
          <w:color w:val="000000" w:themeColor="text1"/>
          <w:kern w:val="2"/>
          <w:sz w:val="32"/>
          <w:szCs w:val="28"/>
          <w:lang w:val="en-US" w:eastAsia="zh-CN"/>
        </w:rPr>
        <w:t xml:space="preserve"> </w:t>
      </w:r>
      <w:bookmarkStart w:id="0" w:name="_GoBack"/>
      <w:bookmarkEnd w:id="0"/>
      <w:r>
        <w:rPr>
          <w:rFonts w:eastAsia="仿宋_GB2312"/>
          <w:color w:val="000000" w:themeColor="text1"/>
          <w:kern w:val="2"/>
          <w:sz w:val="32"/>
          <w:szCs w:val="28"/>
        </w:rPr>
        <w:t>财政部、教育部委托全国学生资助管理中心加强对国家奖学金的管理，</w:t>
      </w:r>
      <w:r>
        <w:rPr>
          <w:rFonts w:hint="eastAsia" w:eastAsia="仿宋_GB2312"/>
          <w:color w:val="000000" w:themeColor="text1"/>
          <w:kern w:val="2"/>
          <w:sz w:val="32"/>
          <w:szCs w:val="28"/>
        </w:rPr>
        <w:t>并</w:t>
      </w:r>
      <w:r>
        <w:rPr>
          <w:rFonts w:eastAsia="仿宋_GB2312"/>
          <w:color w:val="000000" w:themeColor="text1"/>
          <w:kern w:val="2"/>
          <w:sz w:val="32"/>
          <w:szCs w:val="28"/>
        </w:rPr>
        <w:t>颁发国家统一印制的荣誉证书。</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_GB2312" w:eastAsia="仿宋_GB2312"/>
        <w:sz w:val="24"/>
        <w:szCs w:val="24"/>
      </w:rPr>
      <w:id w:val="202500374"/>
      <w:docPartObj>
        <w:docPartGallery w:val="autotext"/>
      </w:docPartObj>
    </w:sdtPr>
    <w:sdtEndPr>
      <w:rPr>
        <w:rFonts w:hint="eastAsia" w:ascii="仿宋_GB2312" w:eastAsia="仿宋_GB2312"/>
        <w:sz w:val="24"/>
        <w:szCs w:val="24"/>
      </w:rPr>
    </w:sdtEndPr>
    <w:sdtContent>
      <w:p>
        <w:pPr>
          <w:pStyle w:val="6"/>
          <w:jc w:val="center"/>
          <w:rPr>
            <w:rFonts w:hint="eastAsia"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 PAGE   \* MERGEFORMAT </w:instrText>
        </w:r>
        <w:r>
          <w:rPr>
            <w:rFonts w:hint="eastAsia" w:ascii="仿宋_GB2312" w:eastAsia="仿宋_GB2312"/>
            <w:sz w:val="24"/>
            <w:szCs w:val="24"/>
          </w:rPr>
          <w:fldChar w:fldCharType="separate"/>
        </w:r>
        <w:r>
          <w:rPr>
            <w:rFonts w:ascii="仿宋_GB2312" w:eastAsia="仿宋_GB2312"/>
            <w:sz w:val="24"/>
            <w:szCs w:val="24"/>
            <w:lang w:val="zh-CN"/>
          </w:rPr>
          <w:t>1</w:t>
        </w:r>
        <w:r>
          <w:rPr>
            <w:rFonts w:hint="eastAsia" w:ascii="仿宋_GB2312" w:eastAsia="仿宋_GB2312"/>
            <w:sz w:val="24"/>
            <w:szCs w:val="24"/>
          </w:rPr>
          <w:fldChar w:fldCharType="end"/>
        </w:r>
      </w:p>
    </w:sdtContent>
  </w:sdt>
  <w:p>
    <w:pPr>
      <w:pStyle w:val="6"/>
      <w:rPr>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E149E"/>
    <w:rsid w:val="0000415B"/>
    <w:rsid w:val="00015393"/>
    <w:rsid w:val="000213EF"/>
    <w:rsid w:val="00040CAA"/>
    <w:rsid w:val="00040F53"/>
    <w:rsid w:val="00045245"/>
    <w:rsid w:val="00047B1D"/>
    <w:rsid w:val="00060B85"/>
    <w:rsid w:val="00075238"/>
    <w:rsid w:val="00076AE9"/>
    <w:rsid w:val="000A0D12"/>
    <w:rsid w:val="00107B88"/>
    <w:rsid w:val="001227EC"/>
    <w:rsid w:val="001618E5"/>
    <w:rsid w:val="0018513C"/>
    <w:rsid w:val="0019556B"/>
    <w:rsid w:val="001C4280"/>
    <w:rsid w:val="001C73B6"/>
    <w:rsid w:val="001C7F15"/>
    <w:rsid w:val="00210477"/>
    <w:rsid w:val="002B01F4"/>
    <w:rsid w:val="002B1080"/>
    <w:rsid w:val="002C3FC9"/>
    <w:rsid w:val="002F13A5"/>
    <w:rsid w:val="002F660B"/>
    <w:rsid w:val="00320FED"/>
    <w:rsid w:val="003249AF"/>
    <w:rsid w:val="0036174D"/>
    <w:rsid w:val="003C33C5"/>
    <w:rsid w:val="003F410E"/>
    <w:rsid w:val="0041260C"/>
    <w:rsid w:val="00425C73"/>
    <w:rsid w:val="00450814"/>
    <w:rsid w:val="00454429"/>
    <w:rsid w:val="00472763"/>
    <w:rsid w:val="004758CD"/>
    <w:rsid w:val="00477094"/>
    <w:rsid w:val="00482F2F"/>
    <w:rsid w:val="00494185"/>
    <w:rsid w:val="00495A77"/>
    <w:rsid w:val="004E659B"/>
    <w:rsid w:val="00507644"/>
    <w:rsid w:val="005231D7"/>
    <w:rsid w:val="00526EF9"/>
    <w:rsid w:val="005564FA"/>
    <w:rsid w:val="00561D45"/>
    <w:rsid w:val="00572ADD"/>
    <w:rsid w:val="005837C6"/>
    <w:rsid w:val="00656C38"/>
    <w:rsid w:val="00682C93"/>
    <w:rsid w:val="00684433"/>
    <w:rsid w:val="00685017"/>
    <w:rsid w:val="00693E28"/>
    <w:rsid w:val="006C71A6"/>
    <w:rsid w:val="006D7527"/>
    <w:rsid w:val="00707FE4"/>
    <w:rsid w:val="00720448"/>
    <w:rsid w:val="007421CB"/>
    <w:rsid w:val="00753A28"/>
    <w:rsid w:val="00776DA4"/>
    <w:rsid w:val="0078209B"/>
    <w:rsid w:val="00783601"/>
    <w:rsid w:val="007A2AD3"/>
    <w:rsid w:val="0081590D"/>
    <w:rsid w:val="0084764E"/>
    <w:rsid w:val="00872444"/>
    <w:rsid w:val="008B38CE"/>
    <w:rsid w:val="008E5114"/>
    <w:rsid w:val="008E5467"/>
    <w:rsid w:val="008F3879"/>
    <w:rsid w:val="00951806"/>
    <w:rsid w:val="00956BF0"/>
    <w:rsid w:val="00967726"/>
    <w:rsid w:val="00976CA3"/>
    <w:rsid w:val="009F729D"/>
    <w:rsid w:val="00A02C74"/>
    <w:rsid w:val="00A07449"/>
    <w:rsid w:val="00A25B1C"/>
    <w:rsid w:val="00A361B2"/>
    <w:rsid w:val="00A57D1A"/>
    <w:rsid w:val="00A64B81"/>
    <w:rsid w:val="00AA116F"/>
    <w:rsid w:val="00AB3F71"/>
    <w:rsid w:val="00AC1D5B"/>
    <w:rsid w:val="00AF5EF0"/>
    <w:rsid w:val="00B06939"/>
    <w:rsid w:val="00B134C3"/>
    <w:rsid w:val="00B158A3"/>
    <w:rsid w:val="00B43185"/>
    <w:rsid w:val="00B62BA1"/>
    <w:rsid w:val="00B8250F"/>
    <w:rsid w:val="00B954B9"/>
    <w:rsid w:val="00BB2BF0"/>
    <w:rsid w:val="00BC7C9D"/>
    <w:rsid w:val="00BC7E4F"/>
    <w:rsid w:val="00BE49D7"/>
    <w:rsid w:val="00C1593C"/>
    <w:rsid w:val="00C722CA"/>
    <w:rsid w:val="00C74402"/>
    <w:rsid w:val="00CA1BF6"/>
    <w:rsid w:val="00CD581F"/>
    <w:rsid w:val="00D3621E"/>
    <w:rsid w:val="00D55509"/>
    <w:rsid w:val="00DD6184"/>
    <w:rsid w:val="00E420B8"/>
    <w:rsid w:val="00E45F5B"/>
    <w:rsid w:val="00E460AC"/>
    <w:rsid w:val="00E62381"/>
    <w:rsid w:val="00E64582"/>
    <w:rsid w:val="00E87922"/>
    <w:rsid w:val="00EC565A"/>
    <w:rsid w:val="00EF16A0"/>
    <w:rsid w:val="00F1287E"/>
    <w:rsid w:val="00F2514A"/>
    <w:rsid w:val="00F2738F"/>
    <w:rsid w:val="00F30D12"/>
    <w:rsid w:val="00F32C8D"/>
    <w:rsid w:val="00F43451"/>
    <w:rsid w:val="00F55487"/>
    <w:rsid w:val="00F71D5D"/>
    <w:rsid w:val="00F80E4D"/>
    <w:rsid w:val="00F825D4"/>
    <w:rsid w:val="00F92F62"/>
    <w:rsid w:val="00FA7FFD"/>
    <w:rsid w:val="00FB0C17"/>
    <w:rsid w:val="00FB12E2"/>
    <w:rsid w:val="00FC7E93"/>
    <w:rsid w:val="00FD5972"/>
    <w:rsid w:val="00FE149E"/>
    <w:rsid w:val="00FE3A35"/>
    <w:rsid w:val="00FF007D"/>
    <w:rsid w:val="33DFC7F2"/>
    <w:rsid w:val="EDD95AC3"/>
    <w:rsid w:val="FFFFB7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1"/>
      <w:lang w:val="en-US" w:eastAsia="zh-CN" w:bidi="ar-SA"/>
    </w:rPr>
  </w:style>
  <w:style w:type="paragraph" w:styleId="2">
    <w:name w:val="heading 1"/>
    <w:basedOn w:val="1"/>
    <w:next w:val="1"/>
    <w:link w:val="17"/>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18"/>
    <w:qFormat/>
    <w:uiPriority w:val="0"/>
    <w:pPr>
      <w:widowControl/>
      <w:spacing w:before="100" w:beforeAutospacing="1" w:after="100" w:afterAutospacing="1"/>
      <w:jc w:val="left"/>
      <w:outlineLvl w:val="1"/>
    </w:pPr>
    <w:rPr>
      <w:rFonts w:ascii="宋体" w:hAnsi="宋体" w:cs="宋体"/>
      <w:b/>
      <w:bCs/>
      <w:sz w:val="36"/>
      <w:szCs w:val="36"/>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unhideWhenUsed/>
    <w:qFormat/>
    <w:uiPriority w:val="99"/>
    <w:pPr>
      <w:jc w:val="left"/>
    </w:pPr>
  </w:style>
  <w:style w:type="paragraph" w:styleId="5">
    <w:name w:val="Balloon Text"/>
    <w:basedOn w:val="1"/>
    <w:link w:val="24"/>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sz w:val="24"/>
      <w:szCs w:val="24"/>
    </w:rPr>
  </w:style>
  <w:style w:type="paragraph" w:styleId="9">
    <w:name w:val="annotation subject"/>
    <w:basedOn w:val="4"/>
    <w:next w:val="4"/>
    <w:link w:val="23"/>
    <w:semiHidden/>
    <w:unhideWhenUsed/>
    <w:qFormat/>
    <w:uiPriority w:val="99"/>
    <w:rPr>
      <w:b/>
      <w:bCs/>
    </w:rPr>
  </w:style>
  <w:style w:type="character" w:styleId="12">
    <w:name w:val="Strong"/>
    <w:basedOn w:val="11"/>
    <w:qFormat/>
    <w:uiPriority w:val="0"/>
    <w:rPr>
      <w:b/>
      <w:bCs/>
    </w:rPr>
  </w:style>
  <w:style w:type="character" w:styleId="13">
    <w:name w:val="Hyperlink"/>
    <w:basedOn w:val="11"/>
    <w:qFormat/>
    <w:uiPriority w:val="0"/>
    <w:rPr>
      <w:rFonts w:cs="Times New Roman"/>
      <w:color w:val="0000FF"/>
      <w:u w:val="single"/>
    </w:rPr>
  </w:style>
  <w:style w:type="character" w:styleId="14">
    <w:name w:val="annotation reference"/>
    <w:basedOn w:val="11"/>
    <w:semiHidden/>
    <w:unhideWhenUsed/>
    <w:qFormat/>
    <w:uiPriority w:val="99"/>
    <w:rPr>
      <w:sz w:val="21"/>
      <w:szCs w:val="21"/>
    </w:r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标题 1 Char"/>
    <w:basedOn w:val="11"/>
    <w:link w:val="2"/>
    <w:qFormat/>
    <w:uiPriority w:val="0"/>
    <w:rPr>
      <w:rFonts w:ascii="宋体" w:hAnsi="宋体" w:eastAsia="宋体" w:cs="宋体"/>
      <w:b/>
      <w:bCs/>
      <w:kern w:val="36"/>
      <w:sz w:val="48"/>
      <w:szCs w:val="48"/>
    </w:rPr>
  </w:style>
  <w:style w:type="character" w:customStyle="1" w:styleId="18">
    <w:name w:val="标题 2 Char"/>
    <w:basedOn w:val="11"/>
    <w:link w:val="3"/>
    <w:qFormat/>
    <w:uiPriority w:val="0"/>
    <w:rPr>
      <w:rFonts w:ascii="宋体" w:hAnsi="宋体" w:eastAsia="宋体" w:cs="宋体"/>
      <w:b/>
      <w:bCs/>
      <w:kern w:val="0"/>
      <w:sz w:val="36"/>
      <w:szCs w:val="36"/>
    </w:rPr>
  </w:style>
  <w:style w:type="character" w:customStyle="1" w:styleId="19">
    <w:name w:val="样式 标题 2 + 仿宋_GB2312 Char"/>
    <w:basedOn w:val="11"/>
    <w:qFormat/>
    <w:uiPriority w:val="0"/>
    <w:rPr>
      <w:rFonts w:ascii="仿宋_GB2312" w:hAnsi="仿宋_GB2312" w:eastAsia="仿宋_GB2312" w:cs="Times New Roman"/>
      <w:b/>
      <w:bCs/>
      <w:kern w:val="2"/>
      <w:sz w:val="32"/>
      <w:szCs w:val="32"/>
      <w:lang w:val="en-US" w:eastAsia="zh-CN" w:bidi="ar-SA"/>
    </w:rPr>
  </w:style>
  <w:style w:type="paragraph" w:customStyle="1" w:styleId="20">
    <w:name w:val="标题1"/>
    <w:basedOn w:val="1"/>
    <w:qFormat/>
    <w:uiPriority w:val="0"/>
    <w:pPr>
      <w:widowControl/>
      <w:spacing w:before="100" w:beforeAutospacing="1" w:after="100" w:afterAutospacing="1"/>
      <w:jc w:val="left"/>
    </w:pPr>
    <w:rPr>
      <w:rFonts w:ascii="宋体" w:hAnsi="宋体" w:cs="宋体"/>
      <w:sz w:val="24"/>
      <w:szCs w:val="24"/>
    </w:rPr>
  </w:style>
  <w:style w:type="paragraph" w:styleId="21">
    <w:name w:val="List Paragraph"/>
    <w:basedOn w:val="1"/>
    <w:qFormat/>
    <w:uiPriority w:val="34"/>
    <w:pPr>
      <w:ind w:firstLine="420" w:firstLineChars="200"/>
    </w:pPr>
  </w:style>
  <w:style w:type="character" w:customStyle="1" w:styleId="22">
    <w:name w:val="批注文字 Char"/>
    <w:basedOn w:val="11"/>
    <w:link w:val="4"/>
    <w:semiHidden/>
    <w:qFormat/>
    <w:uiPriority w:val="99"/>
    <w:rPr>
      <w:rFonts w:ascii="Times New Roman" w:hAnsi="Times New Roman" w:eastAsia="宋体" w:cs="Times New Roman"/>
      <w:kern w:val="0"/>
      <w:szCs w:val="21"/>
    </w:rPr>
  </w:style>
  <w:style w:type="character" w:customStyle="1" w:styleId="23">
    <w:name w:val="批注主题 Char"/>
    <w:basedOn w:val="22"/>
    <w:link w:val="9"/>
    <w:semiHidden/>
    <w:qFormat/>
    <w:uiPriority w:val="99"/>
    <w:rPr>
      <w:rFonts w:ascii="Times New Roman" w:hAnsi="Times New Roman" w:eastAsia="宋体" w:cs="Times New Roman"/>
      <w:b/>
      <w:bCs/>
      <w:kern w:val="0"/>
      <w:szCs w:val="21"/>
    </w:rPr>
  </w:style>
  <w:style w:type="character" w:customStyle="1" w:styleId="24">
    <w:name w:val="批注框文本 Char"/>
    <w:basedOn w:val="11"/>
    <w:link w:val="5"/>
    <w:semiHidden/>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141</Words>
  <Characters>807</Characters>
  <Lines>6</Lines>
  <Paragraphs>1</Paragraphs>
  <TotalTime>3</TotalTime>
  <ScaleCrop>false</ScaleCrop>
  <LinksUpToDate>false</LinksUpToDate>
  <CharactersWithSpaces>947</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2019-02-28T17:52:00Z</dcterms:created>
  <dc:creator>Windows 用户</dc:creator>
  <cp:lastModifiedBy>chenshan</cp:lastModifiedBy>
  <dcterms:modified xsi:type="dcterms:W3CDTF">2022-01-21T17:48:42Z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